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b/>
          <w:bCs/>
          <w:i w:val="0"/>
          <w:caps w:val="0"/>
          <w:color w:val="3E3E3E"/>
          <w:spacing w:val="0"/>
          <w:sz w:val="32"/>
          <w:szCs w:val="32"/>
          <w:bdr w:val="none" w:color="auto" w:sz="0" w:space="0"/>
          <w:shd w:val="clear" w:fill="FFFFFF"/>
        </w:rPr>
      </w:pPr>
      <w:r>
        <w:rPr>
          <w:rFonts w:hint="eastAsia" w:ascii="宋体" w:hAnsi="宋体" w:eastAsia="宋体" w:cs="宋体"/>
          <w:b/>
          <w:bCs/>
          <w:i w:val="0"/>
          <w:caps w:val="0"/>
          <w:color w:val="3E3E3E"/>
          <w:spacing w:val="0"/>
          <w:sz w:val="32"/>
          <w:szCs w:val="32"/>
          <w:bdr w:val="none" w:color="auto" w:sz="0" w:space="0"/>
          <w:shd w:val="clear" w:fill="FFFFFF"/>
        </w:rPr>
        <w:t>最新交通事故赔偿具体细目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021EAA"/>
          <w:spacing w:val="0"/>
          <w:sz w:val="24"/>
          <w:szCs w:val="24"/>
          <w:bdr w:val="none" w:color="auto" w:sz="0" w:space="0"/>
          <w:shd w:val="clear" w:fill="FFFFFF"/>
        </w:rPr>
        <w:t>一、赔偿项目及计算方法</w:t>
      </w:r>
    </w:p>
    <w:tbl>
      <w:tblPr>
        <w:tblpPr w:leftFromText="180" w:rightFromText="180" w:vertAnchor="text" w:horzAnchor="page" w:tblpX="910" w:tblpY="625"/>
        <w:tblOverlap w:val="never"/>
        <w:tblW w:w="10018" w:type="dxa"/>
        <w:tblCellSpacing w:w="20" w:type="dxa"/>
        <w:tblInd w:w="15" w:type="dxa"/>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shd w:val="clear" w:color="auto" w:fill="FFFFFF"/>
        <w:tblLayout w:type="fixed"/>
        <w:tblCellMar>
          <w:top w:w="0" w:type="dxa"/>
          <w:left w:w="0" w:type="dxa"/>
          <w:bottom w:w="0" w:type="dxa"/>
          <w:right w:w="0" w:type="dxa"/>
        </w:tblCellMar>
      </w:tblPr>
      <w:tblGrid>
        <w:gridCol w:w="1593"/>
        <w:gridCol w:w="2075"/>
        <w:gridCol w:w="323"/>
        <w:gridCol w:w="1114"/>
        <w:gridCol w:w="1210"/>
        <w:gridCol w:w="3703"/>
      </w:tblGrid>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shd w:val="clear" w:color="auto" w:fill="FFFFFF"/>
          <w:tblLayout w:type="fixed"/>
          <w:tblCellMar>
            <w:top w:w="0" w:type="dxa"/>
            <w:left w:w="0" w:type="dxa"/>
            <w:bottom w:w="0" w:type="dxa"/>
            <w:right w:w="0" w:type="dxa"/>
          </w:tblCellMar>
        </w:tblPrEx>
        <w:trPr>
          <w:trHeight w:val="420" w:hRule="atLeast"/>
          <w:tblCellSpacing w:w="20" w:type="dxa"/>
        </w:trPr>
        <w:tc>
          <w:tcPr>
            <w:tcW w:w="1533" w:type="dxa"/>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pPr>
            <w:r>
              <w:rPr>
                <w:rFonts w:hint="eastAsia" w:ascii="宋体" w:hAnsi="宋体" w:eastAsia="宋体" w:cs="宋体"/>
                <w:b w:val="0"/>
                <w:i w:val="0"/>
                <w:caps w:val="0"/>
                <w:color w:val="FF0000"/>
                <w:spacing w:val="0"/>
                <w:sz w:val="24"/>
                <w:szCs w:val="24"/>
                <w:bdr w:val="none" w:color="auto" w:sz="0" w:space="0"/>
              </w:rPr>
              <w:t>赔偿项目</w:t>
            </w:r>
          </w:p>
        </w:tc>
        <w:tc>
          <w:tcPr>
            <w:tcW w:w="8365" w:type="dxa"/>
            <w:gridSpan w:val="5"/>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pPr>
            <w:r>
              <w:rPr>
                <w:rFonts w:hint="eastAsia" w:ascii="宋体" w:hAnsi="宋体" w:eastAsia="宋体" w:cs="宋体"/>
                <w:b w:val="0"/>
                <w:i w:val="0"/>
                <w:caps w:val="0"/>
                <w:color w:val="FF0000"/>
                <w:spacing w:val="0"/>
                <w:sz w:val="24"/>
                <w:szCs w:val="24"/>
                <w:bdr w:val="none" w:color="auto" w:sz="0" w:space="0"/>
              </w:rPr>
              <w:t>计算方法</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435" w:hRule="atLeast"/>
          <w:tblCellSpacing w:w="20" w:type="dxa"/>
        </w:trPr>
        <w:tc>
          <w:tcPr>
            <w:tcW w:w="1533" w:type="dxa"/>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00D100"/>
                <w:spacing w:val="0"/>
                <w:sz w:val="24"/>
                <w:szCs w:val="24"/>
                <w:bdr w:val="none" w:color="auto" w:sz="0" w:space="0"/>
              </w:rPr>
              <w:t>医药费</w:t>
            </w: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医疗机构出具的医药费、治疗费等收款凭证所载费用之和</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restart"/>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误工费</w:t>
            </w:r>
          </w:p>
        </w:tc>
        <w:tc>
          <w:tcPr>
            <w:tcW w:w="2358"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A类：受害人有固定收入</w:t>
            </w:r>
          </w:p>
        </w:tc>
        <w:tc>
          <w:tcPr>
            <w:tcW w:w="5967" w:type="dxa"/>
            <w:gridSpan w:val="3"/>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按实际减少的收入计算赔偿</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B类：受害人无固定收入（受害人能举证证明其最近三年平均年收入）</w:t>
            </w:r>
            <w:r>
              <w:rPr>
                <w:rFonts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公式=最近三年平均年收入X（元／年）×误工期限（天）÷365（天）</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1050" w:hRule="atLeast"/>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C类：受害人无固定收入（受害人不能举证证明其最近三年平均年收入）</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公式=受诉法院所在地相同或相近行业上一年度职工年平均工资X（元／年）×误工期限（天） ÷365（天）</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870" w:hRule="atLeast"/>
          <w:tblCellSpacing w:w="20" w:type="dxa"/>
        </w:trPr>
        <w:tc>
          <w:tcPr>
            <w:tcW w:w="1533" w:type="dxa"/>
            <w:vMerge w:val="restart"/>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00D100"/>
                <w:spacing w:val="0"/>
                <w:sz w:val="24"/>
                <w:szCs w:val="24"/>
                <w:bdr w:val="none" w:color="auto" w:sz="0" w:space="0"/>
              </w:rPr>
              <w:t>护理费</w:t>
            </w:r>
          </w:p>
        </w:tc>
        <w:tc>
          <w:tcPr>
            <w:tcW w:w="2358" w:type="dxa"/>
            <w:gridSpan w:val="2"/>
            <w:vMerge w:val="restart"/>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护理人员有收入</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（参照误工费的规定计算）</w:t>
            </w:r>
          </w:p>
        </w:tc>
        <w:tc>
          <w:tcPr>
            <w:tcW w:w="2284"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护理人员有固定收入</w:t>
            </w:r>
          </w:p>
        </w:tc>
        <w:tc>
          <w:tcPr>
            <w:tcW w:w="3643" w:type="dxa"/>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按实际减少的收入计算赔偿</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358" w:type="dxa"/>
            <w:gridSpan w:val="2"/>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284"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护理人员无固定收入</w:t>
            </w:r>
          </w:p>
        </w:tc>
        <w:tc>
          <w:tcPr>
            <w:tcW w:w="3643" w:type="dxa"/>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最近三年平均年收入X（元／年）×误工期限（天）÷365（天）</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358"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护理人员无收入或雇佣护工</w:t>
            </w:r>
          </w:p>
        </w:tc>
        <w:tc>
          <w:tcPr>
            <w:tcW w:w="5967" w:type="dxa"/>
            <w:gridSpan w:val="3"/>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当地护工从事同等级别护理的劳务报酬（元／天）×护理期限（天）。 护理期限：1 护理至受害人恢复自理能力为止；2 因伤致残不能恢复的，护理期限结合受害人年龄、健康状况等确定合理期限，最长不超过二十年。</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交通费</w:t>
            </w: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正式票据所载实际交通费用之和</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（包括受害人及其必要的陪护人员因就医或转院治疗实际发生的交通费用，票据所载事项应与就医地点、时间、人数、次数相吻合）</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00D100"/>
                <w:spacing w:val="0"/>
                <w:sz w:val="24"/>
                <w:szCs w:val="24"/>
                <w:bdr w:val="none" w:color="auto" w:sz="0" w:space="0"/>
              </w:rPr>
              <w:t>住院伙食补助费</w:t>
            </w: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1、可以参照当地国家机关一般工作人员的出差伙食补助标准予以确定；</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2、受害人确有必要到外地治疗，因客观原因不能住院，此时住院伙食补助费还包括受害人及其陪护人员实际发生的住宿费和伙食费。</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585" w:hRule="atLeast"/>
          <w:tblCellSpacing w:w="20" w:type="dxa"/>
        </w:trPr>
        <w:tc>
          <w:tcPr>
            <w:tcW w:w="1533" w:type="dxa"/>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丧葬费</w:t>
            </w: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受诉法院所在地上一年度职工月平均工资（元／月）×6（月）</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1080" w:hRule="atLeast"/>
          <w:tblCellSpacing w:w="20" w:type="dxa"/>
        </w:trPr>
        <w:tc>
          <w:tcPr>
            <w:tcW w:w="1533" w:type="dxa"/>
            <w:vMerge w:val="restart"/>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00D100"/>
                <w:spacing w:val="0"/>
                <w:sz w:val="24"/>
                <w:szCs w:val="24"/>
                <w:bdr w:val="none" w:color="auto" w:sz="0" w:space="0"/>
              </w:rPr>
              <w:t>残疾赔偿金</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（残疾赔偿金根据受害人丧失劳动能力或伤残等级确定；因伤残未导致实际收入减少对残疾赔偿金作适当调整）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p>
        </w:tc>
        <w:tc>
          <w:tcPr>
            <w:tcW w:w="2035" w:type="dxa"/>
            <w:vMerge w:val="restart"/>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受害人为</w:t>
            </w:r>
            <w:r>
              <w:rPr>
                <w:rFonts w:hint="eastAsia" w:ascii="宋体" w:hAnsi="宋体" w:eastAsia="宋体" w:cs="宋体"/>
                <w:b w:val="0"/>
                <w:i w:val="0"/>
                <w:caps w:val="0"/>
                <w:color w:val="FF0000"/>
                <w:spacing w:val="0"/>
                <w:sz w:val="24"/>
                <w:szCs w:val="24"/>
                <w:bdr w:val="none" w:color="auto" w:sz="0" w:space="0"/>
              </w:rPr>
              <w:t>城镇居民（或农村居民符合按照城镇居民索赔条件</w:t>
            </w: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受诉法院所在地上一年度城镇居民人均可支配收入①X（元／年）×20（年）×伤残赔偿系数；</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受诉法院所在地上一年度城镇居民人均可支配收入X（元／年）×{20-（实际年龄-60）}年×伤残赔偿系数②；</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1035" w:hRule="atLeast"/>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受诉法院所在地上一年度城镇居民人均可支配收入X（元／年）×5（年）×伤残赔偿系数；</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restart"/>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受害人为</w:t>
            </w:r>
            <w:r>
              <w:rPr>
                <w:rFonts w:hint="eastAsia" w:ascii="宋体" w:hAnsi="宋体" w:eastAsia="宋体" w:cs="宋体"/>
                <w:b w:val="0"/>
                <w:i w:val="0"/>
                <w:caps w:val="0"/>
                <w:color w:val="FF0000"/>
                <w:spacing w:val="0"/>
                <w:sz w:val="24"/>
                <w:szCs w:val="24"/>
                <w:bdr w:val="none" w:color="auto" w:sz="0" w:space="0"/>
              </w:rPr>
              <w:t>农村居民</w:t>
            </w: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受诉法院所在地上一年度农村居民人均纯收入③X（元／年）×20（年）×伤残赔偿系数</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1200" w:hRule="atLeast"/>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受诉法院所在地上一年度农村居民人均纯收入X（元／年）×{20-（实际年龄-60）}年×伤残赔偿系数</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1035" w:hRule="atLeast"/>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受诉法院所在地上一年度农村居民人均纯收入X（元／年）×5（年）×伤残赔偿系数</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restart"/>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p>
        </w:tc>
        <w:tc>
          <w:tcPr>
            <w:tcW w:w="2035" w:type="dxa"/>
            <w:vMerge w:val="restart"/>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受害人为</w:t>
            </w:r>
            <w:r>
              <w:rPr>
                <w:rFonts w:hint="eastAsia" w:ascii="宋体" w:hAnsi="宋体" w:eastAsia="宋体" w:cs="宋体"/>
                <w:b w:val="0"/>
                <w:i w:val="0"/>
                <w:caps w:val="0"/>
                <w:color w:val="FF0000"/>
                <w:spacing w:val="0"/>
                <w:sz w:val="24"/>
                <w:szCs w:val="24"/>
                <w:bdr w:val="none" w:color="auto" w:sz="0" w:space="0"/>
              </w:rPr>
              <w:t>城镇居民（或农村居民符合按照城镇居民索赔条件）</w:t>
            </w: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受诉法院所在地上一年度城镇居民人均可支配收入X（元／年）×20（年）</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受诉法院所在地上一年度城镇居民人均可支配收入X（元／年）×{20-（实际年龄-60）}年</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受诉法院所在地上一年度城镇居民人均可支配收入X（元／年）×5（年）</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restart"/>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受害人为</w:t>
            </w:r>
            <w:r>
              <w:rPr>
                <w:rFonts w:hint="eastAsia" w:ascii="宋体" w:hAnsi="宋体" w:eastAsia="宋体" w:cs="宋体"/>
                <w:b w:val="0"/>
                <w:i w:val="0"/>
                <w:caps w:val="0"/>
                <w:color w:val="FF0000"/>
                <w:spacing w:val="0"/>
                <w:sz w:val="24"/>
                <w:szCs w:val="24"/>
                <w:bdr w:val="none" w:color="auto" w:sz="0" w:space="0"/>
              </w:rPr>
              <w:t>农村居民</w:t>
            </w: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受诉法院所在地上一年度农村居民人均纯收入X（元／年）×20（年）</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受诉法院所在地上一年度农村居民人均纯收入X（元／年）×{20-（实际年龄-60）}年</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受诉法院所在地上一年度农村居民人均纯收入X（元／年）×5（年）</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restart"/>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00D100"/>
                <w:spacing w:val="0"/>
                <w:sz w:val="24"/>
                <w:szCs w:val="24"/>
                <w:bdr w:val="none" w:color="auto" w:sz="0" w:space="0"/>
              </w:rPr>
              <w:t>被扶养人生活费</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（被扶养人有数人的，年赔偿总额累计不得超过上一年度城镇居民人均消费性支出或农村居民人均年生活消费支出）</w:t>
            </w:r>
          </w:p>
        </w:tc>
        <w:tc>
          <w:tcPr>
            <w:tcW w:w="2035" w:type="dxa"/>
            <w:vMerge w:val="restart"/>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被扶养人为</w:t>
            </w:r>
            <w:r>
              <w:rPr>
                <w:rFonts w:hint="eastAsia" w:ascii="宋体" w:hAnsi="宋体" w:eastAsia="宋体" w:cs="宋体"/>
                <w:b w:val="0"/>
                <w:i w:val="0"/>
                <w:caps w:val="0"/>
                <w:color w:val="FF0000"/>
                <w:spacing w:val="0"/>
                <w:sz w:val="24"/>
                <w:szCs w:val="24"/>
                <w:bdr w:val="none" w:color="auto" w:sz="0" w:space="0"/>
              </w:rPr>
              <w:t>城镇居民</w:t>
            </w: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≤18周岁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受诉法院所在地上一年度城镇居民人均消费性支出④X（元／年）×（18-实际年龄）÷扶养人数×伤残赔偿指数。  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≤60周岁</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（被抚养人无劳动能力又无其他生活来源）</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受诉法院所在地上一年度城镇居民人均消费性支出X0（元／年）×20（年）×伤残赔偿指数。  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受诉法院所在地上一年度城镇居民人均消费性支出X（元／年）×{20年-（实际年龄-60）}÷扶养人数×伤残赔偿指数。  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受诉法院所在地上一年度城镇居民人均消费性支出X（元／年）×（年）5÷扶养人数×伤残赔偿指数。 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restart"/>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被扶养人为</w:t>
            </w:r>
            <w:r>
              <w:rPr>
                <w:rFonts w:hint="eastAsia" w:ascii="宋体" w:hAnsi="宋体" w:eastAsia="宋体" w:cs="宋体"/>
                <w:b w:val="0"/>
                <w:i w:val="0"/>
                <w:caps w:val="0"/>
                <w:color w:val="FF0000"/>
                <w:spacing w:val="0"/>
                <w:sz w:val="24"/>
                <w:szCs w:val="24"/>
                <w:bdr w:val="none" w:color="auto" w:sz="0" w:space="0"/>
              </w:rPr>
              <w:t>农村居民</w:t>
            </w: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≤18周岁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受诉法院所在地上一年度农村居民人均年生活消费支出⑤ X（元／年）×（18-实际年龄）÷扶养人数×伤残赔偿指数。 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≤60周岁</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（被扶养人无劳动能力又无其他生活来源）</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受诉法院所在地上一年度农村居民人均年生活消费支出X（元／年）×20（年）÷扶养人数×伤残赔偿指数。  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60-75周岁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受诉法院所在地上一年度农村居民人均年生活消费支出X（元／年）×{20年-（实际年龄-60）}÷扶养人数×伤残赔偿指数。</w:t>
            </w:r>
            <w:r>
              <w:rPr>
                <w:rFonts w:hint="default" w:ascii="Helvetica" w:hAnsi="Helvetica" w:eastAsia="Helvetica" w:cs="Helvetica"/>
                <w:b w:val="0"/>
                <w:i w:val="0"/>
                <w:caps w:val="0"/>
                <w:color w:val="3E3E3E"/>
                <w:spacing w:val="0"/>
                <w:sz w:val="24"/>
                <w:szCs w:val="24"/>
                <w:bdr w:val="none" w:color="auto" w:sz="0" w:space="0"/>
              </w:rPr>
              <w:br w:type="textWrapping"/>
            </w:r>
            <w:r>
              <w:rPr>
                <w:rFonts w:hint="default" w:ascii="Helvetica" w:hAnsi="Helvetica" w:eastAsia="Helvetica" w:cs="Helvetica"/>
                <w:b w:val="0"/>
                <w:i w:val="0"/>
                <w:caps w:val="0"/>
                <w:color w:val="3E3E3E"/>
                <w:spacing w:val="0"/>
                <w:sz w:val="24"/>
                <w:szCs w:val="24"/>
                <w:bdr w:val="none" w:color="auto" w:sz="0" w:space="0"/>
              </w:rPr>
              <w:t> </w:t>
            </w:r>
            <w:r>
              <w:rPr>
                <w:rFonts w:hint="eastAsia" w:ascii="宋体" w:hAnsi="宋体" w:eastAsia="宋体" w:cs="宋体"/>
                <w:b w:val="0"/>
                <w:i w:val="0"/>
                <w:caps w:val="0"/>
                <w:color w:val="3E3E3E"/>
                <w:spacing w:val="0"/>
                <w:sz w:val="24"/>
                <w:szCs w:val="24"/>
                <w:bdr w:val="none" w:color="auto" w:sz="0" w:space="0"/>
              </w:rPr>
              <w:t>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vMerge w:val="continue"/>
            <w:tcBorders>
              <w:tl2br w:val="nil"/>
              <w:tr2bl w:val="nil"/>
            </w:tcBorders>
            <w:shd w:val="clear" w:color="auto" w:fill="FFFFFF"/>
            <w:tcMar>
              <w:top w:w="15" w:type="dxa"/>
              <w:left w:w="15" w:type="dxa"/>
              <w:bottom w:w="15" w:type="dxa"/>
              <w:right w:w="15"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2035" w:type="dxa"/>
            <w:vMerge w:val="continue"/>
            <w:tcBorders>
              <w:tl2br w:val="nil"/>
              <w:tr2bl w:val="nil"/>
            </w:tcBorders>
            <w:shd w:val="clear" w:color="auto" w:fill="FFFFFF"/>
            <w:tcMar>
              <w:top w:w="2" w:type="dxa"/>
              <w:left w:w="2" w:type="dxa"/>
              <w:bottom w:w="2" w:type="dxa"/>
              <w:right w:w="2"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1397"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≥75周岁</w:t>
            </w:r>
          </w:p>
        </w:tc>
        <w:tc>
          <w:tcPr>
            <w:tcW w:w="4853" w:type="dxa"/>
            <w:gridSpan w:val="2"/>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受诉法院所在地上一年度农村居民人均年生活消费支出X（元／年）×5（年）÷扶养人数×伤残赔偿指数。  备注：受害人死亡的伤残赔偿指数看作1计算。</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blCellSpacing w:w="20" w:type="dxa"/>
        </w:trPr>
        <w:tc>
          <w:tcPr>
            <w:tcW w:w="1533" w:type="dxa"/>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精神损害抚慰金</w:t>
            </w: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3E3E3E"/>
                <w:spacing w:val="0"/>
                <w:sz w:val="24"/>
                <w:szCs w:val="24"/>
                <w:bdr w:val="none" w:color="auto" w:sz="0" w:space="0"/>
              </w:rPr>
              <w:t>根据侵权人的过错程度、侵害手段、场合、行为方式、侵权行为造成的后果、侵权人的获利情况、侵权人经济赔偿能力、受诉法院所在地平均生活水平等因素确定。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Style w:val="4"/>
                <w:rFonts w:hint="eastAsia" w:ascii="宋体" w:hAnsi="宋体" w:eastAsia="宋体" w:cs="宋体"/>
                <w:i w:val="0"/>
                <w:caps w:val="0"/>
                <w:color w:val="3E3E3E"/>
                <w:spacing w:val="0"/>
                <w:sz w:val="24"/>
                <w:szCs w:val="24"/>
                <w:bdr w:val="none" w:color="auto" w:sz="0" w:space="0"/>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Helvetica" w:hAnsi="Helvetica" w:eastAsia="Helvetica" w:cs="Helvetica"/>
                <w:b w:val="0"/>
                <w:i w:val="0"/>
                <w:caps w:val="0"/>
                <w:color w:val="3E3E3E"/>
                <w:spacing w:val="0"/>
                <w:sz w:val="24"/>
                <w:szCs w:val="24"/>
                <w:bdr w:val="none" w:color="auto" w:sz="0" w:space="0"/>
              </w:rPr>
              <w:t>1.</w:t>
            </w:r>
            <w:r>
              <w:rPr>
                <w:rFonts w:hint="eastAsia" w:ascii="宋体" w:hAnsi="宋体" w:eastAsia="宋体" w:cs="宋体"/>
                <w:b w:val="0"/>
                <w:i w:val="0"/>
                <w:caps w:val="0"/>
                <w:color w:val="3E3E3E"/>
                <w:spacing w:val="0"/>
                <w:sz w:val="24"/>
                <w:szCs w:val="24"/>
                <w:bdr w:val="none" w:color="auto" w:sz="0" w:space="0"/>
              </w:rPr>
              <w:t>精神损害抚慰金计算的具体标准，因个案和地域经济发达程度的不同会有较大差异。目前深圳地区一般按如下标准计算</w:t>
            </w:r>
            <w:r>
              <w:rPr>
                <w:rFonts w:hint="default" w:ascii="Helvetica" w:hAnsi="Helvetica" w:eastAsia="Helvetica" w:cs="Helvetica"/>
                <w:b w:val="0"/>
                <w:i w:val="0"/>
                <w:caps w:val="0"/>
                <w:color w:val="3E3E3E"/>
                <w:spacing w:val="0"/>
                <w:sz w:val="24"/>
                <w:szCs w:val="24"/>
                <w:bdr w:val="none" w:color="auto" w:sz="0" w:space="0"/>
              </w:rPr>
              <w:t>:</w:t>
            </w:r>
            <w:r>
              <w:rPr>
                <w:rFonts w:hint="eastAsia" w:ascii="宋体" w:hAnsi="宋体" w:eastAsia="宋体" w:cs="宋体"/>
                <w:b w:val="0"/>
                <w:i w:val="0"/>
                <w:caps w:val="0"/>
                <w:color w:val="3E3E3E"/>
                <w:spacing w:val="0"/>
                <w:sz w:val="24"/>
                <w:szCs w:val="24"/>
                <w:bdr w:val="none" w:color="auto" w:sz="0" w:space="0"/>
              </w:rPr>
              <w:t>根据伤残等级从</w:t>
            </w:r>
            <w:r>
              <w:rPr>
                <w:rFonts w:hint="default" w:ascii="Helvetica" w:hAnsi="Helvetica" w:eastAsia="Helvetica" w:cs="Helvetica"/>
                <w:b w:val="0"/>
                <w:i w:val="0"/>
                <w:caps w:val="0"/>
                <w:color w:val="3E3E3E"/>
                <w:spacing w:val="0"/>
                <w:sz w:val="24"/>
                <w:szCs w:val="24"/>
                <w:bdr w:val="none" w:color="auto" w:sz="0" w:space="0"/>
              </w:rPr>
              <w:t>10</w:t>
            </w:r>
            <w:r>
              <w:rPr>
                <w:rFonts w:hint="eastAsia" w:ascii="宋体" w:hAnsi="宋体" w:eastAsia="宋体" w:cs="宋体"/>
                <w:b w:val="0"/>
                <w:i w:val="0"/>
                <w:caps w:val="0"/>
                <w:color w:val="3E3E3E"/>
                <w:spacing w:val="0"/>
                <w:sz w:val="24"/>
                <w:szCs w:val="24"/>
                <w:bdr w:val="none" w:color="auto" w:sz="0" w:space="0"/>
              </w:rPr>
              <w:t>级至</w:t>
            </w:r>
            <w:r>
              <w:rPr>
                <w:rFonts w:hint="default" w:ascii="Helvetica" w:hAnsi="Helvetica" w:eastAsia="Helvetica" w:cs="Helvetica"/>
                <w:b w:val="0"/>
                <w:i w:val="0"/>
                <w:caps w:val="0"/>
                <w:color w:val="3E3E3E"/>
                <w:spacing w:val="0"/>
                <w:sz w:val="24"/>
                <w:szCs w:val="24"/>
                <w:bdr w:val="none" w:color="auto" w:sz="0" w:space="0"/>
              </w:rPr>
              <w:t>1</w:t>
            </w:r>
            <w:r>
              <w:rPr>
                <w:rFonts w:hint="eastAsia" w:ascii="宋体" w:hAnsi="宋体" w:eastAsia="宋体" w:cs="宋体"/>
                <w:b w:val="0"/>
                <w:i w:val="0"/>
                <w:caps w:val="0"/>
                <w:color w:val="3E3E3E"/>
                <w:spacing w:val="0"/>
                <w:sz w:val="24"/>
                <w:szCs w:val="24"/>
                <w:bdr w:val="none" w:color="auto" w:sz="0" w:space="0"/>
              </w:rPr>
              <w:t>级分别对应为</w:t>
            </w:r>
            <w:r>
              <w:rPr>
                <w:rFonts w:hint="default" w:ascii="Helvetica" w:hAnsi="Helvetica" w:eastAsia="Helvetica" w:cs="Helvetica"/>
                <w:b w:val="0"/>
                <w:i w:val="0"/>
                <w:caps w:val="0"/>
                <w:color w:val="3E3E3E"/>
                <w:spacing w:val="0"/>
                <w:sz w:val="24"/>
                <w:szCs w:val="24"/>
                <w:bdr w:val="none" w:color="auto" w:sz="0" w:space="0"/>
              </w:rPr>
              <w:t>1</w:t>
            </w:r>
            <w:r>
              <w:rPr>
                <w:rFonts w:hint="eastAsia" w:ascii="宋体" w:hAnsi="宋体" w:eastAsia="宋体" w:cs="宋体"/>
                <w:b w:val="0"/>
                <w:i w:val="0"/>
                <w:caps w:val="0"/>
                <w:color w:val="3E3E3E"/>
                <w:spacing w:val="0"/>
                <w:sz w:val="24"/>
                <w:szCs w:val="24"/>
                <w:bdr w:val="none" w:color="auto" w:sz="0" w:space="0"/>
              </w:rPr>
              <w:t>万至</w:t>
            </w:r>
            <w:r>
              <w:rPr>
                <w:rFonts w:hint="default" w:ascii="Helvetica" w:hAnsi="Helvetica" w:eastAsia="Helvetica" w:cs="Helvetica"/>
                <w:b w:val="0"/>
                <w:i w:val="0"/>
                <w:caps w:val="0"/>
                <w:color w:val="3E3E3E"/>
                <w:spacing w:val="0"/>
                <w:sz w:val="24"/>
                <w:szCs w:val="24"/>
                <w:bdr w:val="none" w:color="auto" w:sz="0" w:space="0"/>
              </w:rPr>
              <w:t>10</w:t>
            </w:r>
            <w:r>
              <w:rPr>
                <w:rFonts w:hint="eastAsia" w:ascii="宋体" w:hAnsi="宋体" w:eastAsia="宋体" w:cs="宋体"/>
                <w:b w:val="0"/>
                <w:i w:val="0"/>
                <w:caps w:val="0"/>
                <w:color w:val="3E3E3E"/>
                <w:spacing w:val="0"/>
                <w:sz w:val="24"/>
                <w:szCs w:val="24"/>
                <w:bdr w:val="none" w:color="auto" w:sz="0" w:space="0"/>
              </w:rPr>
              <w:t>万，死亡的，同</w:t>
            </w:r>
            <w:r>
              <w:rPr>
                <w:rFonts w:hint="default" w:ascii="Helvetica" w:hAnsi="Helvetica" w:eastAsia="Helvetica" w:cs="Helvetica"/>
                <w:b w:val="0"/>
                <w:i w:val="0"/>
                <w:caps w:val="0"/>
                <w:color w:val="3E3E3E"/>
                <w:spacing w:val="0"/>
                <w:sz w:val="24"/>
                <w:szCs w:val="24"/>
                <w:bdr w:val="none" w:color="auto" w:sz="0" w:space="0"/>
              </w:rPr>
              <w:t>1</w:t>
            </w:r>
            <w:r>
              <w:rPr>
                <w:rFonts w:hint="eastAsia" w:ascii="宋体" w:hAnsi="宋体" w:eastAsia="宋体" w:cs="宋体"/>
                <w:b w:val="0"/>
                <w:i w:val="0"/>
                <w:caps w:val="0"/>
                <w:color w:val="3E3E3E"/>
                <w:spacing w:val="0"/>
                <w:sz w:val="24"/>
                <w:szCs w:val="24"/>
                <w:bdr w:val="none" w:color="auto" w:sz="0" w:space="0"/>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Helvetica" w:hAnsi="Helvetica" w:eastAsia="Helvetica" w:cs="Helvetica"/>
                <w:b w:val="0"/>
                <w:i w:val="0"/>
                <w:caps w:val="0"/>
                <w:color w:val="3E3E3E"/>
                <w:spacing w:val="0"/>
                <w:sz w:val="24"/>
                <w:szCs w:val="24"/>
                <w:bdr w:val="none" w:color="auto" w:sz="0" w:space="0"/>
              </w:rPr>
              <w:t>2.</w:t>
            </w:r>
            <w:r>
              <w:rPr>
                <w:rFonts w:hint="eastAsia" w:ascii="宋体" w:hAnsi="宋体" w:eastAsia="宋体" w:cs="宋体"/>
                <w:b w:val="0"/>
                <w:i w:val="0"/>
                <w:caps w:val="0"/>
                <w:color w:val="3E3E3E"/>
                <w:spacing w:val="0"/>
                <w:sz w:val="24"/>
                <w:szCs w:val="24"/>
                <w:bdr w:val="none" w:color="auto" w:sz="0" w:space="0"/>
              </w:rPr>
              <w:t>司法实践操作中</w:t>
            </w:r>
            <w:r>
              <w:rPr>
                <w:rFonts w:hint="default" w:ascii="Helvetica" w:hAnsi="Helvetica" w:eastAsia="Helvetica" w:cs="Helvetica"/>
                <w:b w:val="0"/>
                <w:i w:val="0"/>
                <w:caps w:val="0"/>
                <w:color w:val="3E3E3E"/>
                <w:spacing w:val="0"/>
                <w:sz w:val="24"/>
                <w:szCs w:val="24"/>
                <w:bdr w:val="none" w:color="auto" w:sz="0" w:space="0"/>
              </w:rPr>
              <w:t>:</w:t>
            </w:r>
            <w:r>
              <w:rPr>
                <w:rFonts w:hint="eastAsia" w:ascii="宋体" w:hAnsi="宋体" w:eastAsia="宋体" w:cs="宋体"/>
                <w:b w:val="0"/>
                <w:i w:val="0"/>
                <w:caps w:val="0"/>
                <w:color w:val="3E3E3E"/>
                <w:spacing w:val="0"/>
                <w:sz w:val="24"/>
                <w:szCs w:val="24"/>
                <w:bdr w:val="none" w:color="auto" w:sz="0" w:space="0"/>
              </w:rPr>
              <w:t>在诉讼中，注意该费用应在诉讼请求中明确提出在交强险中优先支付。商业保险中没有精神损失的赔偿项目。</w:t>
            </w:r>
          </w:p>
        </w:tc>
      </w:tr>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fixed"/>
          <w:tblCellMar>
            <w:top w:w="0" w:type="dxa"/>
            <w:left w:w="0" w:type="dxa"/>
            <w:bottom w:w="0" w:type="dxa"/>
            <w:right w:w="0" w:type="dxa"/>
          </w:tblCellMar>
        </w:tblPrEx>
        <w:trPr>
          <w:trHeight w:val="1635" w:hRule="atLeast"/>
          <w:tblCellSpacing w:w="20" w:type="dxa"/>
        </w:trPr>
        <w:tc>
          <w:tcPr>
            <w:tcW w:w="1533" w:type="dxa"/>
            <w:tcBorders>
              <w:tl2br w:val="nil"/>
              <w:tr2bl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i w:val="0"/>
                <w:caps w:val="0"/>
                <w:color w:val="00D100"/>
                <w:spacing w:val="0"/>
                <w:sz w:val="24"/>
                <w:szCs w:val="24"/>
                <w:bdr w:val="none" w:color="auto" w:sz="0" w:space="0"/>
              </w:rPr>
              <w:t>财产损失</w:t>
            </w:r>
          </w:p>
        </w:tc>
        <w:tc>
          <w:tcPr>
            <w:tcW w:w="8365" w:type="dxa"/>
            <w:gridSpan w:val="5"/>
            <w:tcBorders>
              <w:tl2br w:val="nil"/>
              <w:tr2bl w:val="nil"/>
            </w:tcBorders>
            <w:shd w:val="clear" w:color="auto" w:fill="FFFFFF"/>
            <w:tcMar>
              <w:top w:w="2" w:type="dxa"/>
              <w:left w:w="2" w:type="dxa"/>
              <w:bottom w:w="2" w:type="dxa"/>
              <w:right w:w="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rFonts w:hint="eastAsia" w:ascii="宋体" w:hAnsi="宋体" w:eastAsia="宋体" w:cs="宋体"/>
                <w:b w:val="0"/>
                <w:i w:val="0"/>
                <w:caps w:val="0"/>
                <w:color w:val="3E3E3E"/>
                <w:spacing w:val="0"/>
                <w:sz w:val="24"/>
                <w:szCs w:val="24"/>
                <w:bdr w:val="none" w:color="auto" w:sz="0" w:space="0"/>
              </w:rPr>
            </w:pPr>
            <w:r>
              <w:rPr>
                <w:rFonts w:hint="eastAsia" w:ascii="宋体" w:hAnsi="宋体" w:eastAsia="宋体" w:cs="宋体"/>
                <w:b w:val="0"/>
                <w:i w:val="0"/>
                <w:caps w:val="0"/>
                <w:color w:val="3E3E3E"/>
                <w:spacing w:val="0"/>
                <w:sz w:val="24"/>
                <w:szCs w:val="24"/>
                <w:bdr w:val="none" w:color="auto" w:sz="0" w:space="0"/>
              </w:rPr>
              <w:t>根据估损清单及相应财产有效凭证主张（包括车辆维修、施救损失；车载货物损失；经营车辆停运损失；非经营车辆替代支出的交通费等等）。</w:t>
            </w:r>
          </w:p>
        </w:tc>
      </w:tr>
    </w:tbl>
    <w:tbl>
      <w:tblPr>
        <w:tblStyle w:val="5"/>
        <w:tblpPr w:leftFromText="180" w:rightFromText="180" w:vertAnchor="text" w:horzAnchor="page" w:tblpX="885" w:tblpY="520"/>
        <w:tblOverlap w:val="never"/>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66"/>
        <w:gridCol w:w="8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366" w:type="dxa"/>
            <w:tcBorders>
              <w:top w:val="single" w:color="DDDDDD" w:sz="6" w:space="0"/>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i w:val="0"/>
                <w:caps w:val="0"/>
                <w:color w:val="3E3E3E"/>
                <w:spacing w:val="0"/>
                <w:sz w:val="24"/>
                <w:szCs w:val="24"/>
              </w:rPr>
              <w:t>残疾辅助器具费的赔偿标准</w:t>
            </w:r>
          </w:p>
        </w:tc>
        <w:tc>
          <w:tcPr>
            <w:tcW w:w="8653" w:type="dxa"/>
            <w:tcBorders>
              <w:top w:val="single" w:color="DDDDDD"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i w:val="0"/>
                <w:caps w:val="0"/>
                <w:color w:val="00D100"/>
                <w:spacing w:val="0"/>
                <w:sz w:val="24"/>
                <w:szCs w:val="24"/>
              </w:rPr>
              <w:t>《人身损害赔偿解释》第二十六条</w:t>
            </w:r>
            <w:r>
              <w:rPr>
                <w:rFonts w:hint="eastAsia" w:ascii="宋体" w:hAnsi="宋体" w:eastAsia="宋体" w:cs="宋体"/>
                <w:b w:val="0"/>
                <w:i w:val="0"/>
                <w:caps w:val="0"/>
                <w:color w:val="3E3E3E"/>
                <w:spacing w:val="0"/>
                <w:sz w:val="24"/>
                <w:szCs w:val="24"/>
              </w:rPr>
              <w:t>规定，残疾辅助器具费按照普通适用器具的合理费用标准计算。伤情有特殊需要的，可以参照辅助器具配制机构的意见确定相应的合理费用标准。辅助器具的更换周期和赔偿期限参照配制机构的意见确定。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i w:val="0"/>
                <w:caps w:val="0"/>
                <w:color w:val="00D100"/>
                <w:spacing w:val="0"/>
                <w:sz w:val="24"/>
                <w:szCs w:val="24"/>
              </w:rPr>
              <w:t>第三十二条规定</w:t>
            </w:r>
            <w:r>
              <w:rPr>
                <w:rFonts w:hint="eastAsia" w:ascii="宋体" w:hAnsi="宋体" w:eastAsia="宋体" w:cs="宋体"/>
                <w:b w:val="0"/>
                <w:i w:val="0"/>
                <w:caps w:val="0"/>
                <w:color w:val="3E3E3E"/>
                <w:spacing w:val="0"/>
                <w:sz w:val="24"/>
                <w:szCs w:val="24"/>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i w:val="0"/>
                <w:caps w:val="0"/>
                <w:color w:val="3E3E3E"/>
                <w:spacing w:val="0"/>
                <w:sz w:val="24"/>
                <w:szCs w:val="24"/>
              </w:rPr>
              <w:t>残疾辅助器具费以补偿伤者的实际损失为目的，对使用年限具有显著可能超过二十年的伤者，其残疾辅助器具费应当按照伤者的实际使用器具的单价计算至平均寿命七十周岁。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i w:val="0"/>
                <w:caps w:val="0"/>
                <w:color w:val="3E3E3E"/>
                <w:spacing w:val="0"/>
                <w:sz w:val="24"/>
                <w:szCs w:val="24"/>
              </w:rPr>
              <w:t>若残疾者在年满七十周岁前便死亡的，对于未实际发生但侵权人已经支付残疾辅助器具费，应当由残疾者一方返还给侵权人。</w:t>
            </w:r>
          </w:p>
        </w:tc>
      </w:tr>
    </w:tbl>
    <w:p>
      <w:pPr>
        <w:rPr>
          <w:rFonts w:asciiTheme="minorHAnsi" w:hAnsiTheme="minorHAnsi" w:eastAsiaTheme="minorEastAsia" w:cstheme="minorBidi"/>
          <w:kern w:val="2"/>
          <w:sz w:val="21"/>
          <w:szCs w:val="24"/>
          <w:lang w:val="en-US" w:eastAsia="zh-CN" w:bidi="ar-SA"/>
        </w:rPr>
      </w:pPr>
    </w:p>
    <w:p>
      <w:pPr>
        <w:tabs>
          <w:tab w:val="left" w:pos="3599"/>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二、相关术语注释</w:t>
      </w:r>
    </w:p>
    <w:p>
      <w:pPr>
        <w:tabs>
          <w:tab w:val="left" w:pos="3599"/>
        </w:tabs>
        <w:jc w:val="left"/>
        <w:rPr>
          <w:rFonts w:hint="eastAsia" w:cstheme="minorBidi"/>
          <w:color w:val="0000FF"/>
          <w:kern w:val="2"/>
          <w:sz w:val="24"/>
          <w:szCs w:val="24"/>
          <w:lang w:val="en-US" w:eastAsia="zh-CN" w:bidi="ar-SA"/>
        </w:rPr>
      </w:pPr>
      <w:r>
        <w:rPr>
          <w:rFonts w:hint="eastAsia" w:cstheme="minorBidi"/>
          <w:color w:val="0000FF"/>
          <w:kern w:val="2"/>
          <w:sz w:val="24"/>
          <w:szCs w:val="24"/>
          <w:lang w:val="en-US" w:eastAsia="zh-CN" w:bidi="ar-SA"/>
        </w:rPr>
        <w:t>①城镇居民人均可支配收入</w:t>
      </w:r>
    </w:p>
    <w:p>
      <w:pPr>
        <w:tabs>
          <w:tab w:val="left" w:pos="3599"/>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即国民家庭全部现金收入中扣除所得税、个人缴纳的社会保障费等费用后剩余的用于安排家庭日常生活的那部分收入。</w:t>
      </w:r>
    </w:p>
    <w:p>
      <w:pPr>
        <w:tabs>
          <w:tab w:val="left" w:pos="3599"/>
        </w:tabs>
        <w:jc w:val="left"/>
        <w:rPr>
          <w:rFonts w:hint="eastAsia" w:cstheme="minorBidi"/>
          <w:color w:val="0000FF"/>
          <w:kern w:val="2"/>
          <w:sz w:val="24"/>
          <w:szCs w:val="24"/>
          <w:lang w:val="en-US" w:eastAsia="zh-CN" w:bidi="ar-SA"/>
        </w:rPr>
      </w:pPr>
      <w:r>
        <w:rPr>
          <w:rFonts w:hint="eastAsia" w:cstheme="minorBidi"/>
          <w:color w:val="0000FF"/>
          <w:kern w:val="2"/>
          <w:sz w:val="24"/>
          <w:szCs w:val="24"/>
          <w:lang w:val="en-US" w:eastAsia="zh-CN" w:bidi="ar-SA"/>
        </w:rPr>
        <w:t>②伤残赔偿系数</w:t>
      </w:r>
    </w:p>
    <w:p>
      <w:pPr>
        <w:tabs>
          <w:tab w:val="left" w:pos="3599"/>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根据伤者伤残的严重程度将伤者残疾划分为十个等级，一级伤残的赔偿系数是百分之百，二级伤残的赔偿系数是百分之九十，以此类推。</w:t>
      </w:r>
    </w:p>
    <w:p>
      <w:pPr>
        <w:tabs>
          <w:tab w:val="left" w:pos="3599"/>
        </w:tabs>
        <w:jc w:val="left"/>
        <w:rPr>
          <w:rFonts w:hint="eastAsia" w:cstheme="minorBidi"/>
          <w:color w:val="0000FF"/>
          <w:kern w:val="2"/>
          <w:sz w:val="24"/>
          <w:szCs w:val="24"/>
          <w:lang w:val="en-US" w:eastAsia="zh-CN" w:bidi="ar-SA"/>
        </w:rPr>
      </w:pPr>
      <w:r>
        <w:rPr>
          <w:rFonts w:hint="eastAsia" w:cstheme="minorBidi"/>
          <w:color w:val="0000FF"/>
          <w:kern w:val="2"/>
          <w:sz w:val="24"/>
          <w:szCs w:val="24"/>
          <w:lang w:val="en-US" w:eastAsia="zh-CN" w:bidi="ar-SA"/>
        </w:rPr>
        <w:t>③农村居民人均纯收入</w:t>
      </w:r>
    </w:p>
    <w:p>
      <w:pPr>
        <w:tabs>
          <w:tab w:val="left" w:pos="3599"/>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农村居民各来源收入总和合扣除其经营性支出、税费支出所剩余的收入，计算公式是：农村居民纯收入=家庭总收入－家庭费用支出－税费支出－生产性固定资产折旧损失。</w:t>
      </w:r>
    </w:p>
    <w:p>
      <w:pPr>
        <w:tabs>
          <w:tab w:val="left" w:pos="3599"/>
        </w:tabs>
        <w:jc w:val="left"/>
        <w:rPr>
          <w:rFonts w:hint="eastAsia" w:cstheme="minorBidi"/>
          <w:color w:val="0000FF"/>
          <w:kern w:val="2"/>
          <w:sz w:val="24"/>
          <w:szCs w:val="24"/>
          <w:lang w:val="en-US" w:eastAsia="zh-CN" w:bidi="ar-SA"/>
        </w:rPr>
      </w:pPr>
      <w:r>
        <w:rPr>
          <w:rFonts w:hint="eastAsia" w:cstheme="minorBidi"/>
          <w:color w:val="0000FF"/>
          <w:kern w:val="2"/>
          <w:sz w:val="24"/>
          <w:szCs w:val="24"/>
          <w:lang w:val="en-US" w:eastAsia="zh-CN" w:bidi="ar-SA"/>
        </w:rPr>
        <w:t>④城镇居民人均消费性支出</w:t>
      </w:r>
    </w:p>
    <w:p>
      <w:pPr>
        <w:tabs>
          <w:tab w:val="left" w:pos="3599"/>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城镇居民人均消费性支出以城镇居民个人购买商品和劳务两方面支出作为重要权衡指标。</w:t>
      </w:r>
    </w:p>
    <w:p>
      <w:pPr>
        <w:tabs>
          <w:tab w:val="left" w:pos="3599"/>
        </w:tabs>
        <w:jc w:val="left"/>
        <w:rPr>
          <w:rFonts w:hint="eastAsia" w:cstheme="minorBidi"/>
          <w:color w:val="0000FF"/>
          <w:kern w:val="2"/>
          <w:sz w:val="24"/>
          <w:szCs w:val="24"/>
          <w:lang w:val="en-US" w:eastAsia="zh-CN" w:bidi="ar-SA"/>
        </w:rPr>
      </w:pPr>
      <w:r>
        <w:rPr>
          <w:rFonts w:hint="eastAsia" w:cstheme="minorBidi"/>
          <w:color w:val="0000FF"/>
          <w:kern w:val="2"/>
          <w:sz w:val="24"/>
          <w:szCs w:val="24"/>
          <w:lang w:val="en-US" w:eastAsia="zh-CN" w:bidi="ar-SA"/>
        </w:rPr>
        <w:t>⑤农村居民人均年生活消费支出</w:t>
      </w:r>
    </w:p>
    <w:p>
      <w:pPr>
        <w:tabs>
          <w:tab w:val="left" w:pos="3599"/>
        </w:tabs>
        <w:jc w:val="left"/>
        <w:rPr>
          <w:rFonts w:hint="eastAsia" w:cstheme="minorBidi"/>
          <w:kern w:val="2"/>
          <w:sz w:val="21"/>
          <w:szCs w:val="24"/>
          <w:lang w:val="en-US" w:eastAsia="zh-CN" w:bidi="ar-SA"/>
        </w:rPr>
      </w:pPr>
      <w:r>
        <w:rPr>
          <w:rFonts w:hint="eastAsia" w:cstheme="minorBidi"/>
          <w:kern w:val="2"/>
          <w:sz w:val="24"/>
          <w:szCs w:val="24"/>
          <w:lang w:val="en-US" w:eastAsia="zh-CN" w:bidi="ar-SA"/>
        </w:rPr>
        <w:t>农村居民人均年生活消费支出是指农村常驻家庭用于日常生活的全部开支，也即农民家庭实际生活消费支出，反应农民的消费水平。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021EAA"/>
          <w:spacing w:val="0"/>
          <w:sz w:val="24"/>
          <w:szCs w:val="24"/>
          <w:bdr w:val="none" w:color="auto" w:sz="0" w:space="0"/>
          <w:shd w:val="clear" w:fill="FFFFFF"/>
        </w:rPr>
        <w:t>三、法条链接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00D100"/>
          <w:spacing w:val="0"/>
          <w:sz w:val="24"/>
          <w:szCs w:val="24"/>
          <w:bdr w:val="none" w:color="auto" w:sz="0" w:space="0"/>
          <w:shd w:val="clear" w:fill="FFFFFF"/>
        </w:rPr>
        <w:t>1</w:t>
      </w:r>
      <w:r>
        <w:rPr>
          <w:rFonts w:hint="eastAsia" w:ascii="宋体" w:hAnsi="宋体" w:eastAsia="宋体" w:cs="宋体"/>
          <w:b w:val="0"/>
          <w:i w:val="0"/>
          <w:caps w:val="0"/>
          <w:color w:val="00D100"/>
          <w:spacing w:val="0"/>
          <w:sz w:val="24"/>
          <w:szCs w:val="24"/>
          <w:bdr w:val="none" w:color="auto" w:sz="0" w:space="0"/>
          <w:shd w:val="clear" w:fill="FFFFFF"/>
        </w:rPr>
        <w:t>、医疗费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00D100"/>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00D100"/>
          <w:spacing w:val="0"/>
          <w:sz w:val="24"/>
          <w:szCs w:val="24"/>
          <w:bdr w:val="none" w:color="auto" w:sz="0" w:space="0"/>
          <w:shd w:val="clear" w:fill="FFFFFF"/>
        </w:rPr>
        <w:t>19</w:t>
      </w:r>
      <w:r>
        <w:rPr>
          <w:rFonts w:hint="eastAsia" w:ascii="宋体" w:hAnsi="宋体" w:eastAsia="宋体" w:cs="宋体"/>
          <w:b w:val="0"/>
          <w:i w:val="0"/>
          <w:caps w:val="0"/>
          <w:color w:val="00D100"/>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3E3E3E"/>
          <w:spacing w:val="0"/>
          <w:sz w:val="24"/>
          <w:szCs w:val="24"/>
          <w:bdr w:val="none" w:color="auto" w:sz="0" w:space="0"/>
          <w:shd w:val="clear" w:fill="FFFFFF"/>
        </w:rPr>
        <w:t>2</w:t>
      </w:r>
      <w:r>
        <w:rPr>
          <w:rFonts w:hint="eastAsia" w:ascii="宋体" w:hAnsi="宋体" w:eastAsia="宋体" w:cs="宋体"/>
          <w:b w:val="0"/>
          <w:i w:val="0"/>
          <w:caps w:val="0"/>
          <w:color w:val="3E3E3E"/>
          <w:spacing w:val="0"/>
          <w:sz w:val="24"/>
          <w:szCs w:val="24"/>
          <w:bdr w:val="none" w:color="auto" w:sz="0" w:space="0"/>
          <w:shd w:val="clear" w:fill="FFFFFF"/>
        </w:rPr>
        <w:t>、误工费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3E3E3E"/>
          <w:spacing w:val="0"/>
          <w:sz w:val="24"/>
          <w:szCs w:val="24"/>
          <w:bdr w:val="none" w:color="auto" w:sz="0" w:space="0"/>
          <w:shd w:val="clear" w:fill="FFFFFF"/>
        </w:rPr>
        <w:t>20</w:t>
      </w:r>
      <w:r>
        <w:rPr>
          <w:rFonts w:hint="eastAsia" w:ascii="宋体" w:hAnsi="宋体" w:eastAsia="宋体" w:cs="宋体"/>
          <w:b w:val="0"/>
          <w:i w:val="0"/>
          <w:caps w:val="0"/>
          <w:color w:val="3E3E3E"/>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00D100"/>
          <w:spacing w:val="0"/>
          <w:sz w:val="24"/>
          <w:szCs w:val="24"/>
          <w:bdr w:val="none" w:color="auto" w:sz="0" w:space="0"/>
          <w:shd w:val="clear" w:fill="FFFFFF"/>
        </w:rPr>
        <w:t>3</w:t>
      </w:r>
      <w:r>
        <w:rPr>
          <w:rFonts w:hint="eastAsia" w:ascii="宋体" w:hAnsi="宋体" w:eastAsia="宋体" w:cs="宋体"/>
          <w:b w:val="0"/>
          <w:i w:val="0"/>
          <w:caps w:val="0"/>
          <w:color w:val="00D100"/>
          <w:spacing w:val="0"/>
          <w:sz w:val="24"/>
          <w:szCs w:val="24"/>
          <w:bdr w:val="none" w:color="auto" w:sz="0" w:space="0"/>
          <w:shd w:val="clear" w:fill="FFFFFF"/>
        </w:rPr>
        <w:t>、护理费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00D100"/>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00D100"/>
          <w:spacing w:val="0"/>
          <w:sz w:val="24"/>
          <w:szCs w:val="24"/>
          <w:bdr w:val="none" w:color="auto" w:sz="0" w:space="0"/>
          <w:shd w:val="clear" w:fill="FFFFFF"/>
        </w:rPr>
        <w:t>21</w:t>
      </w:r>
      <w:r>
        <w:rPr>
          <w:rFonts w:hint="eastAsia" w:ascii="宋体" w:hAnsi="宋体" w:eastAsia="宋体" w:cs="宋体"/>
          <w:b w:val="0"/>
          <w:i w:val="0"/>
          <w:caps w:val="0"/>
          <w:color w:val="00D100"/>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3E3E3E"/>
          <w:spacing w:val="0"/>
          <w:sz w:val="24"/>
          <w:szCs w:val="24"/>
          <w:bdr w:val="none" w:color="auto" w:sz="0" w:space="0"/>
          <w:shd w:val="clear" w:fill="FFFFFF"/>
        </w:rPr>
        <w:t>4</w:t>
      </w:r>
      <w:r>
        <w:rPr>
          <w:rFonts w:hint="eastAsia" w:ascii="宋体" w:hAnsi="宋体" w:eastAsia="宋体" w:cs="宋体"/>
          <w:b w:val="0"/>
          <w:i w:val="0"/>
          <w:caps w:val="0"/>
          <w:color w:val="3E3E3E"/>
          <w:spacing w:val="0"/>
          <w:sz w:val="24"/>
          <w:szCs w:val="24"/>
          <w:bdr w:val="none" w:color="auto" w:sz="0" w:space="0"/>
          <w:shd w:val="clear" w:fill="FFFFFF"/>
        </w:rPr>
        <w:t>、交通费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3E3E3E"/>
          <w:spacing w:val="0"/>
          <w:sz w:val="24"/>
          <w:szCs w:val="24"/>
          <w:bdr w:val="none" w:color="auto" w:sz="0" w:space="0"/>
          <w:shd w:val="clear" w:fill="FFFFFF"/>
        </w:rPr>
        <w:t>22</w:t>
      </w:r>
      <w:r>
        <w:rPr>
          <w:rFonts w:hint="eastAsia" w:ascii="宋体" w:hAnsi="宋体" w:eastAsia="宋体" w:cs="宋体"/>
          <w:b w:val="0"/>
          <w:i w:val="0"/>
          <w:caps w:val="0"/>
          <w:color w:val="3E3E3E"/>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00D100"/>
          <w:spacing w:val="0"/>
          <w:sz w:val="24"/>
          <w:szCs w:val="24"/>
          <w:bdr w:val="none" w:color="auto" w:sz="0" w:space="0"/>
          <w:shd w:val="clear" w:fill="FFFFFF"/>
        </w:rPr>
        <w:t>5</w:t>
      </w:r>
      <w:r>
        <w:rPr>
          <w:rFonts w:hint="eastAsia" w:ascii="宋体" w:hAnsi="宋体" w:eastAsia="宋体" w:cs="宋体"/>
          <w:b w:val="0"/>
          <w:i w:val="0"/>
          <w:caps w:val="0"/>
          <w:color w:val="00D100"/>
          <w:spacing w:val="0"/>
          <w:sz w:val="24"/>
          <w:szCs w:val="24"/>
          <w:bdr w:val="none" w:color="auto" w:sz="0" w:space="0"/>
          <w:shd w:val="clear" w:fill="FFFFFF"/>
        </w:rPr>
        <w:t>、住院伙食补助费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00D100"/>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00D100"/>
          <w:spacing w:val="0"/>
          <w:sz w:val="24"/>
          <w:szCs w:val="24"/>
          <w:bdr w:val="none" w:color="auto" w:sz="0" w:space="0"/>
          <w:shd w:val="clear" w:fill="FFFFFF"/>
        </w:rPr>
        <w:t>23</w:t>
      </w:r>
      <w:r>
        <w:rPr>
          <w:rFonts w:hint="eastAsia" w:ascii="宋体" w:hAnsi="宋体" w:eastAsia="宋体" w:cs="宋体"/>
          <w:b w:val="0"/>
          <w:i w:val="0"/>
          <w:caps w:val="0"/>
          <w:color w:val="00D100"/>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3E3E3E"/>
          <w:spacing w:val="0"/>
          <w:sz w:val="24"/>
          <w:szCs w:val="24"/>
          <w:bdr w:val="none" w:color="auto" w:sz="0" w:space="0"/>
          <w:shd w:val="clear" w:fill="FFFFFF"/>
        </w:rPr>
        <w:t>6</w:t>
      </w:r>
      <w:r>
        <w:rPr>
          <w:rFonts w:hint="eastAsia" w:ascii="宋体" w:hAnsi="宋体" w:eastAsia="宋体" w:cs="宋体"/>
          <w:b w:val="0"/>
          <w:i w:val="0"/>
          <w:caps w:val="0"/>
          <w:color w:val="3E3E3E"/>
          <w:spacing w:val="0"/>
          <w:sz w:val="24"/>
          <w:szCs w:val="24"/>
          <w:bdr w:val="none" w:color="auto" w:sz="0" w:space="0"/>
          <w:shd w:val="clear" w:fill="FFFFFF"/>
        </w:rPr>
        <w:t>、丧葬费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3E3E3E"/>
          <w:spacing w:val="0"/>
          <w:sz w:val="24"/>
          <w:szCs w:val="24"/>
          <w:bdr w:val="none" w:color="auto" w:sz="0" w:space="0"/>
          <w:shd w:val="clear" w:fill="FFFFFF"/>
        </w:rPr>
        <w:t>27</w:t>
      </w:r>
      <w:r>
        <w:rPr>
          <w:rFonts w:hint="eastAsia" w:ascii="宋体" w:hAnsi="宋体" w:eastAsia="宋体" w:cs="宋体"/>
          <w:b w:val="0"/>
          <w:i w:val="0"/>
          <w:caps w:val="0"/>
          <w:color w:val="3E3E3E"/>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00D100"/>
          <w:spacing w:val="0"/>
          <w:sz w:val="24"/>
          <w:szCs w:val="24"/>
          <w:bdr w:val="none" w:color="auto" w:sz="0" w:space="0"/>
          <w:shd w:val="clear" w:fill="FFFFFF"/>
        </w:rPr>
        <w:t>7</w:t>
      </w:r>
      <w:r>
        <w:rPr>
          <w:rFonts w:hint="eastAsia" w:ascii="宋体" w:hAnsi="宋体" w:eastAsia="宋体" w:cs="宋体"/>
          <w:b w:val="0"/>
          <w:i w:val="0"/>
          <w:caps w:val="0"/>
          <w:color w:val="00D100"/>
          <w:spacing w:val="0"/>
          <w:sz w:val="24"/>
          <w:szCs w:val="24"/>
          <w:bdr w:val="none" w:color="auto" w:sz="0" w:space="0"/>
          <w:shd w:val="clear" w:fill="FFFFFF"/>
        </w:rPr>
        <w:t>、死亡赔偿金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00D100"/>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00D100"/>
          <w:spacing w:val="0"/>
          <w:sz w:val="24"/>
          <w:szCs w:val="24"/>
          <w:bdr w:val="none" w:color="auto" w:sz="0" w:space="0"/>
          <w:shd w:val="clear" w:fill="FFFFFF"/>
        </w:rPr>
        <w:t>29</w:t>
      </w:r>
      <w:r>
        <w:rPr>
          <w:rFonts w:hint="eastAsia" w:ascii="宋体" w:hAnsi="宋体" w:eastAsia="宋体" w:cs="宋体"/>
          <w:b w:val="0"/>
          <w:i w:val="0"/>
          <w:caps w:val="0"/>
          <w:color w:val="00D100"/>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3E3E3E"/>
          <w:spacing w:val="0"/>
          <w:sz w:val="24"/>
          <w:szCs w:val="24"/>
          <w:bdr w:val="none" w:color="auto" w:sz="0" w:space="0"/>
          <w:shd w:val="clear" w:fill="FFFFFF"/>
        </w:rPr>
        <w:t>8</w:t>
      </w:r>
      <w:r>
        <w:rPr>
          <w:rFonts w:hint="eastAsia" w:ascii="宋体" w:hAnsi="宋体" w:eastAsia="宋体" w:cs="宋体"/>
          <w:b w:val="0"/>
          <w:i w:val="0"/>
          <w:caps w:val="0"/>
          <w:color w:val="3E3E3E"/>
          <w:spacing w:val="0"/>
          <w:sz w:val="24"/>
          <w:szCs w:val="24"/>
          <w:bdr w:val="none" w:color="auto" w:sz="0" w:space="0"/>
          <w:shd w:val="clear" w:fill="FFFFFF"/>
        </w:rPr>
        <w:t>、被扶养人生活费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3E3E3E"/>
          <w:spacing w:val="0"/>
          <w:sz w:val="24"/>
          <w:szCs w:val="24"/>
          <w:bdr w:val="none" w:color="auto" w:sz="0" w:space="0"/>
          <w:shd w:val="clear" w:fill="FFFFFF"/>
        </w:rPr>
        <w:t>28</w:t>
      </w:r>
      <w:r>
        <w:rPr>
          <w:rFonts w:hint="eastAsia" w:ascii="宋体" w:hAnsi="宋体" w:eastAsia="宋体" w:cs="宋体"/>
          <w:b w:val="0"/>
          <w:i w:val="0"/>
          <w:caps w:val="0"/>
          <w:color w:val="3E3E3E"/>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00D100"/>
          <w:spacing w:val="0"/>
          <w:sz w:val="24"/>
          <w:szCs w:val="24"/>
          <w:bdr w:val="none" w:color="auto" w:sz="0" w:space="0"/>
          <w:shd w:val="clear" w:fill="FFFFFF"/>
        </w:rPr>
        <w:t>9</w:t>
      </w:r>
      <w:r>
        <w:rPr>
          <w:rFonts w:hint="eastAsia" w:ascii="宋体" w:hAnsi="宋体" w:eastAsia="宋体" w:cs="宋体"/>
          <w:b w:val="0"/>
          <w:i w:val="0"/>
          <w:caps w:val="0"/>
          <w:color w:val="00D100"/>
          <w:spacing w:val="0"/>
          <w:sz w:val="24"/>
          <w:szCs w:val="24"/>
          <w:bdr w:val="none" w:color="auto" w:sz="0" w:space="0"/>
          <w:shd w:val="clear" w:fill="FFFFFF"/>
        </w:rPr>
        <w:t>、精神损害抚慰金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00D100"/>
          <w:spacing w:val="0"/>
          <w:sz w:val="24"/>
          <w:szCs w:val="24"/>
          <w:bdr w:val="none" w:color="auto" w:sz="0" w:space="0"/>
          <w:shd w:val="clear" w:fill="FFFFFF"/>
        </w:rPr>
        <w:t>《最高人民法院关于确定民事侵权精神损害赔偿责任若干问题的解释》第</w:t>
      </w:r>
      <w:r>
        <w:rPr>
          <w:rFonts w:hint="default" w:ascii="Helvetica" w:hAnsi="Helvetica" w:eastAsia="Helvetica" w:cs="Helvetica"/>
          <w:b w:val="0"/>
          <w:i w:val="0"/>
          <w:caps w:val="0"/>
          <w:color w:val="00D100"/>
          <w:spacing w:val="0"/>
          <w:sz w:val="24"/>
          <w:szCs w:val="24"/>
          <w:bdr w:val="none" w:color="auto" w:sz="0" w:space="0"/>
          <w:shd w:val="clear" w:fill="FFFFFF"/>
        </w:rPr>
        <w:t>9</w:t>
      </w:r>
      <w:r>
        <w:rPr>
          <w:rFonts w:hint="eastAsia" w:ascii="宋体" w:hAnsi="宋体" w:eastAsia="宋体" w:cs="宋体"/>
          <w:b w:val="0"/>
          <w:i w:val="0"/>
          <w:caps w:val="0"/>
          <w:color w:val="00D100"/>
          <w:spacing w:val="0"/>
          <w:sz w:val="24"/>
          <w:szCs w:val="24"/>
          <w:bdr w:val="none" w:color="auto" w:sz="0" w:space="0"/>
          <w:shd w:val="clear" w:fill="FFFFFF"/>
        </w:rPr>
        <w:t>、</w:t>
      </w:r>
      <w:r>
        <w:rPr>
          <w:rFonts w:hint="default" w:ascii="Helvetica" w:hAnsi="Helvetica" w:eastAsia="Helvetica" w:cs="Helvetica"/>
          <w:b w:val="0"/>
          <w:i w:val="0"/>
          <w:caps w:val="0"/>
          <w:color w:val="00D100"/>
          <w:spacing w:val="0"/>
          <w:sz w:val="24"/>
          <w:szCs w:val="24"/>
          <w:bdr w:val="none" w:color="auto" w:sz="0" w:space="0"/>
          <w:shd w:val="clear" w:fill="FFFFFF"/>
        </w:rPr>
        <w:t>10</w:t>
      </w:r>
      <w:r>
        <w:rPr>
          <w:rFonts w:hint="eastAsia" w:ascii="宋体" w:hAnsi="宋体" w:eastAsia="宋体" w:cs="宋体"/>
          <w:b w:val="0"/>
          <w:i w:val="0"/>
          <w:caps w:val="0"/>
          <w:color w:val="00D100"/>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3E3E3E"/>
          <w:spacing w:val="0"/>
          <w:sz w:val="24"/>
          <w:szCs w:val="24"/>
          <w:bdr w:val="none" w:color="auto" w:sz="0" w:space="0"/>
          <w:shd w:val="clear" w:fill="FFFFFF"/>
        </w:rPr>
        <w:t>10</w:t>
      </w:r>
      <w:r>
        <w:rPr>
          <w:rFonts w:hint="eastAsia" w:ascii="宋体" w:hAnsi="宋体" w:eastAsia="宋体" w:cs="宋体"/>
          <w:b w:val="0"/>
          <w:i w:val="0"/>
          <w:caps w:val="0"/>
          <w:color w:val="3E3E3E"/>
          <w:spacing w:val="0"/>
          <w:sz w:val="24"/>
          <w:szCs w:val="24"/>
          <w:bdr w:val="none" w:color="auto" w:sz="0" w:space="0"/>
          <w:shd w:val="clear" w:fill="FFFFFF"/>
        </w:rPr>
        <w:t>、财产损失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FFFFFF"/>
        </w:rPr>
        <w:t>《最高人民法院关于审理交通事故损害赔偿案件适用法律若干问题的解释》第</w:t>
      </w:r>
      <w:r>
        <w:rPr>
          <w:rFonts w:hint="default" w:ascii="Helvetica" w:hAnsi="Helvetica" w:eastAsia="Helvetica" w:cs="Helvetica"/>
          <w:b w:val="0"/>
          <w:i w:val="0"/>
          <w:caps w:val="0"/>
          <w:color w:val="3E3E3E"/>
          <w:spacing w:val="0"/>
          <w:sz w:val="24"/>
          <w:szCs w:val="24"/>
          <w:bdr w:val="none" w:color="auto" w:sz="0" w:space="0"/>
          <w:shd w:val="clear" w:fill="FFFFFF"/>
        </w:rPr>
        <w:t>14</w:t>
      </w:r>
      <w:r>
        <w:rPr>
          <w:rFonts w:hint="eastAsia" w:ascii="宋体" w:hAnsi="宋体" w:eastAsia="宋体" w:cs="宋体"/>
          <w:b w:val="0"/>
          <w:i w:val="0"/>
          <w:caps w:val="0"/>
          <w:color w:val="3E3E3E"/>
          <w:spacing w:val="0"/>
          <w:sz w:val="24"/>
          <w:szCs w:val="24"/>
          <w:bdr w:val="none" w:color="auto" w:sz="0" w:space="0"/>
          <w:shd w:val="clear" w:fill="FFFFFF"/>
        </w:rPr>
        <w:t>、</w:t>
      </w:r>
      <w:r>
        <w:rPr>
          <w:rFonts w:hint="default" w:ascii="Helvetica" w:hAnsi="Helvetica" w:eastAsia="Helvetica" w:cs="Helvetica"/>
          <w:b w:val="0"/>
          <w:i w:val="0"/>
          <w:caps w:val="0"/>
          <w:color w:val="3E3E3E"/>
          <w:spacing w:val="0"/>
          <w:sz w:val="24"/>
          <w:szCs w:val="24"/>
          <w:bdr w:val="none" w:color="auto" w:sz="0" w:space="0"/>
          <w:shd w:val="clear" w:fill="FFFFFF"/>
        </w:rPr>
        <w:t>15</w:t>
      </w:r>
      <w:r>
        <w:rPr>
          <w:rFonts w:hint="eastAsia" w:ascii="宋体" w:hAnsi="宋体" w:eastAsia="宋体" w:cs="宋体"/>
          <w:b w:val="0"/>
          <w:i w:val="0"/>
          <w:caps w:val="0"/>
          <w:color w:val="3E3E3E"/>
          <w:spacing w:val="0"/>
          <w:sz w:val="24"/>
          <w:szCs w:val="24"/>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w:hAnsi="Helvetica" w:eastAsia="Helvetica" w:cs="Helvetica"/>
          <w:b w:val="0"/>
          <w:i w:val="0"/>
          <w:caps w:val="0"/>
          <w:color w:val="00D100"/>
          <w:spacing w:val="0"/>
          <w:sz w:val="24"/>
          <w:szCs w:val="24"/>
          <w:bdr w:val="none" w:color="auto" w:sz="0" w:space="0"/>
          <w:shd w:val="clear" w:fill="FFFFFF"/>
        </w:rPr>
        <w:t>11</w:t>
      </w:r>
      <w:r>
        <w:rPr>
          <w:rFonts w:hint="eastAsia" w:ascii="宋体" w:hAnsi="宋体" w:eastAsia="宋体" w:cs="宋体"/>
          <w:b w:val="0"/>
          <w:i w:val="0"/>
          <w:caps w:val="0"/>
          <w:color w:val="00D100"/>
          <w:spacing w:val="0"/>
          <w:sz w:val="24"/>
          <w:szCs w:val="24"/>
          <w:bdr w:val="none" w:color="auto" w:sz="0" w:space="0"/>
          <w:shd w:val="clear" w:fill="FFFFFF"/>
        </w:rPr>
        <w:t>、残疾赔偿金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00D100"/>
          <w:spacing w:val="0"/>
          <w:sz w:val="24"/>
          <w:szCs w:val="24"/>
          <w:bdr w:val="none" w:color="auto" w:sz="0" w:space="0"/>
          <w:shd w:val="clear" w:fill="FFFFFF"/>
        </w:rPr>
        <w:t>《最高人民法院关于审理人身损害赔偿案件适用法律若干问题的解释》第</w:t>
      </w:r>
      <w:r>
        <w:rPr>
          <w:rFonts w:hint="default" w:ascii="Helvetica" w:hAnsi="Helvetica" w:eastAsia="Helvetica" w:cs="Helvetica"/>
          <w:b w:val="0"/>
          <w:i w:val="0"/>
          <w:caps w:val="0"/>
          <w:color w:val="00D100"/>
          <w:spacing w:val="0"/>
          <w:sz w:val="24"/>
          <w:szCs w:val="24"/>
          <w:bdr w:val="none" w:color="auto" w:sz="0" w:space="0"/>
          <w:shd w:val="clear" w:fill="FFFFFF"/>
        </w:rPr>
        <w:t>15</w:t>
      </w:r>
      <w:r>
        <w:rPr>
          <w:rFonts w:hint="eastAsia" w:ascii="宋体" w:hAnsi="宋体" w:eastAsia="宋体" w:cs="宋体"/>
          <w:b w:val="0"/>
          <w:i w:val="0"/>
          <w:caps w:val="0"/>
          <w:color w:val="00D100"/>
          <w:spacing w:val="0"/>
          <w:sz w:val="24"/>
          <w:szCs w:val="24"/>
          <w:bdr w:val="none" w:color="auto" w:sz="0" w:space="0"/>
          <w:shd w:val="clear" w:fill="FFFFFF"/>
        </w:rPr>
        <w:t>条</w:t>
      </w:r>
    </w:p>
    <w:p>
      <w:pPr>
        <w:tabs>
          <w:tab w:val="left" w:pos="3599"/>
        </w:tabs>
        <w:jc w:val="left"/>
        <w:rPr>
          <w:lang w:val="en-US" w:eastAsia="zh-CN"/>
        </w:rPr>
      </w:pPr>
      <w:bookmarkStart w:id="0" w:name="_GoBack"/>
      <w:bookmarkEnd w:id="0"/>
    </w:p>
    <w:sectPr>
      <w:pgSz w:w="11849" w:h="16781"/>
      <w:pgMar w:top="1440" w:right="1800" w:bottom="1440" w:left="1800" w:header="851" w:footer="992" w:gutter="0"/>
      <w:pgBorders w:offsetFrom="page">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9056"/>
    <w:multiLevelType w:val="singleLevel"/>
    <w:tmpl w:val="58649056"/>
    <w:lvl w:ilvl="0" w:tentative="0">
      <w:start w:val="1"/>
      <w:numFmt w:val="decimal"/>
      <w:pStyle w:val="6"/>
      <w:lvlText w:val="%1."/>
      <w:lvlJc w:val="left"/>
      <w:pPr>
        <w:ind w:left="425" w:leftChars="0" w:hanging="425" w:firstLineChars="0"/>
      </w:pPr>
      <w:rPr>
        <w:rFonts w:hint="default"/>
      </w:rPr>
    </w:lvl>
  </w:abstractNum>
  <w:abstractNum w:abstractNumId="1">
    <w:nsid w:val="586491A3"/>
    <w:multiLevelType w:val="singleLevel"/>
    <w:tmpl w:val="586491A3"/>
    <w:lvl w:ilvl="0" w:tentative="0">
      <w:start w:val="1"/>
      <w:numFmt w:val="decimal"/>
      <w:pStyle w:val="7"/>
      <w:lvlText w:val="%1."/>
      <w:lvlJc w:val="left"/>
      <w:pPr>
        <w:ind w:left="425" w:leftChars="0" w:hanging="425" w:firstLineChars="0"/>
      </w:pPr>
      <w:rPr>
        <w:rFonts w:hint="default"/>
      </w:rPr>
    </w:lvl>
  </w:abstractNum>
  <w:abstractNum w:abstractNumId="2">
    <w:nsid w:val="58649938"/>
    <w:multiLevelType w:val="singleLevel"/>
    <w:tmpl w:val="58649938"/>
    <w:lvl w:ilvl="0" w:tentative="0">
      <w:start w:val="1"/>
      <w:numFmt w:val="decimal"/>
      <w:pStyle w:val="8"/>
      <w:lvlText w:val="%1"/>
      <w:lvlJc w:val="left"/>
      <w:pPr>
        <w:tabs>
          <w:tab w:val="left" w:pos="420"/>
        </w:tabs>
        <w:ind w:left="425" w:leftChars="0" w:hanging="425" w:firstLineChars="0"/>
      </w:pPr>
      <w:rPr>
        <w:rFonts w:hint="default"/>
      </w:rPr>
    </w:lvl>
  </w:abstractNum>
  <w:abstractNum w:abstractNumId="3">
    <w:nsid w:val="58649980"/>
    <w:multiLevelType w:val="singleLevel"/>
    <w:tmpl w:val="58649980"/>
    <w:lvl w:ilvl="0" w:tentative="0">
      <w:start w:val="1"/>
      <w:numFmt w:val="decimal"/>
      <w:pStyle w:val="9"/>
      <w:lvlText w:val="%1"/>
      <w:lvlJc w:val="left"/>
      <w:pPr>
        <w:tabs>
          <w:tab w:val="left" w:pos="420"/>
        </w:tabs>
        <w:ind w:left="425" w:leftChars="0" w:hanging="425" w:firstLineChars="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64DC5"/>
    <w:rsid w:val="0D01440E"/>
    <w:rsid w:val="13070ECE"/>
    <w:rsid w:val="29A55A79"/>
    <w:rsid w:val="3BD95849"/>
    <w:rsid w:val="46404398"/>
    <w:rsid w:val="48B53A7F"/>
    <w:rsid w:val="51964DC5"/>
    <w:rsid w:val="63432111"/>
    <w:rsid w:val="6A2B529F"/>
    <w:rsid w:val="733B32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样式5"/>
    <w:basedOn w:val="1"/>
    <w:qFormat/>
    <w:uiPriority w:val="0"/>
    <w:pPr>
      <w:numPr>
        <w:ilvl w:val="0"/>
        <w:numId w:val="1"/>
      </w:numPr>
    </w:pPr>
    <w:rPr>
      <w:rFonts w:asciiTheme="minorAscii" w:hAnsiTheme="minorAscii"/>
    </w:rPr>
  </w:style>
  <w:style w:type="paragraph" w:customStyle="1" w:styleId="7">
    <w:name w:val="样式1"/>
    <w:basedOn w:val="1"/>
    <w:qFormat/>
    <w:uiPriority w:val="0"/>
    <w:pPr>
      <w:numPr>
        <w:ilvl w:val="0"/>
        <w:numId w:val="2"/>
      </w:numPr>
    </w:pPr>
    <w:rPr>
      <w:rFonts w:asciiTheme="minorAscii" w:hAnsiTheme="minorAscii"/>
    </w:rPr>
  </w:style>
  <w:style w:type="paragraph" w:customStyle="1" w:styleId="8">
    <w:name w:val="样式2"/>
    <w:basedOn w:val="1"/>
    <w:qFormat/>
    <w:uiPriority w:val="0"/>
    <w:pPr>
      <w:numPr>
        <w:ilvl w:val="0"/>
        <w:numId w:val="3"/>
      </w:numPr>
    </w:pPr>
    <w:rPr>
      <w:rFonts w:asciiTheme="minorAscii" w:hAnsiTheme="minorAscii"/>
    </w:rPr>
  </w:style>
  <w:style w:type="paragraph" w:customStyle="1" w:styleId="9">
    <w:name w:val="样式3"/>
    <w:basedOn w:val="7"/>
    <w:qFormat/>
    <w:uiPriority w:val="0"/>
    <w:pPr>
      <w:numPr>
        <w:numId w:val="4"/>
      </w:numPr>
      <w:tabs>
        <w:tab w:val="left" w:pos="420"/>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2017-04-24T04:17:00Z</dcterms:created>
  <dc:creator>Administrator</dc:creator>
  <cp:lastModifiedBy>Administrator</cp:lastModifiedBy>
  <cp:lastPrinted>2017-04-24T04:38:43Z</cp:lastPrinted>
  <dcterms:modified xsi:type="dcterms:W3CDTF">2017-04-24T04:38:58Z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